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sz w:val="28"/>
          <w:szCs w:val="28"/>
        </w:rPr>
        <w:t xml:space="preserve">EVERYONE LLC</w:t>
      </w:r>
    </w:p>
    <w:p>
      <w:pPr>
        <w:spacing w:after="60"/>
        <w:jc w:val="center"/>
      </w:pPr>
      <w:r>
        <w:rPr>
          <w:rFonts w:ascii="Arial" w:cs="Arial" w:eastAsia="Arial" w:hAnsi="Arial"/>
          <w:b/>
          <w:bCs/>
          <w:sz w:val="26"/>
          <w:szCs w:val="26"/>
        </w:rPr>
        <w:t xml:space="preserve">Profit Participation Terms</w:t>
      </w:r>
    </w:p>
    <w:p>
      <w:pPr>
        <w:spacing w:after="300"/>
        <w:jc w:val="center"/>
      </w:pPr>
      <w:r>
        <w:rPr>
          <w:rFonts w:ascii="Arial" w:cs="Arial" w:eastAsia="Arial" w:hAnsi="Arial"/>
          <w:color w:val="666666"/>
          <w:sz w:val="18"/>
          <w:szCs w:val="18"/>
        </w:rPr>
        <w:t xml:space="preserve">CONFIDENTIAL | April 2026</w:t>
      </w:r>
    </w:p>
    <w:p>
      <w:pPr>
        <w:pStyle w:val="Heading1"/>
        <w:spacing w:after="120" w:before="300"/>
      </w:pPr>
      <w:r>
        <w:rPr>
          <w:rFonts w:ascii="Arial" w:cs="Arial" w:eastAsia="Arial" w:hAnsi="Arial"/>
          <w:b/>
          <w:bCs/>
          <w:sz w:val="26"/>
          <w:szCs w:val="26"/>
        </w:rPr>
        <w:t xml:space="preserve">Summary of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pPr>
            <w:r>
              <w:rPr>
                <w:rFonts w:ascii="Arial" w:cs="Arial" w:eastAsia="Arial" w:hAnsi="Arial"/>
                <w:b/>
                <w:bCs/>
                <w:sz w:val="20"/>
                <w:szCs w:val="20"/>
              </w:rPr>
              <w:t xml:space="preserve">Issuer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EVERYONE LLC, a Delaware limited liability company</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pPr>
            <w:r>
              <w:rPr>
                <w:rFonts w:ascii="Arial" w:cs="Arial" w:eastAsia="Arial" w:hAnsi="Arial"/>
                <w:b/>
                <w:bCs/>
                <w:sz w:val="20"/>
                <w:szCs w:val="20"/>
              </w:rPr>
              <w:t xml:space="preserve">Instrument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Profit Participation Rights (not equity, not debt)</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pPr>
            <w:r>
              <w:rPr>
                <w:rFonts w:ascii="Arial" w:cs="Arial" w:eastAsia="Arial" w:hAnsi="Arial"/>
                <w:b/>
                <w:bCs/>
                <w:sz w:val="20"/>
                <w:szCs w:val="20"/>
              </w:rPr>
              <w:t xml:space="preserve">What You Get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Right to share in Net Distributable Profits (NDP) from all revenue sources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pPr>
            <w:r>
              <w:rPr>
                <w:rFonts w:ascii="Arial" w:cs="Arial" w:eastAsia="Arial" w:hAnsi="Arial"/>
                <w:b/>
                <w:bCs/>
                <w:sz w:val="20"/>
                <w:szCs w:val="20"/>
              </w:rPr>
              <w:t xml:space="preserve">What You Don't Get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No ownership, no shares, no voting rights, no governance</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pPr>
            <w:r>
              <w:rPr>
                <w:rFonts w:ascii="Arial" w:cs="Arial" w:eastAsia="Arial" w:hAnsi="Arial"/>
                <w:b/>
                <w:bCs/>
                <w:sz w:val="20"/>
                <w:szCs w:val="20"/>
              </w:rPr>
              <w:t xml:space="preserve">Minimum Investment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Flexible. No fixed minimum.</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pPr>
            <w:r>
              <w:rPr>
                <w:rFonts w:ascii="Arial" w:cs="Arial" w:eastAsia="Arial" w:hAnsi="Arial"/>
                <w:b/>
                <w:bCs/>
                <w:sz w:val="20"/>
                <w:szCs w:val="20"/>
              </w:rPr>
              <w:t xml:space="preserve">Use of Funds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Operations, production, platform development, team wear launch</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pPr>
            <w:r>
              <w:rPr>
                <w:rFonts w:ascii="Arial" w:cs="Arial" w:eastAsia="Arial" w:hAnsi="Arial"/>
                <w:b/>
                <w:bCs/>
                <w:sz w:val="20"/>
                <w:szCs w:val="20"/>
              </w:rPr>
              <w:t xml:space="preserve">Duration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Until 3X cap is reached, then participation ends</w:t>
            </w:r>
          </w:p>
        </w:tc>
      </w:tr>
    </w:tbl>
    <w:p>
      <w:pPr>
        <w:spacing w:after="80"/>
      </w:pPr>
    </w:p>
    <w:p>
      <w:pPr>
        <w:pStyle w:val="Heading1"/>
        <w:spacing w:after="120" w:before="300"/>
      </w:pPr>
      <w:r>
        <w:rPr>
          <w:rFonts w:ascii="Arial" w:cs="Arial" w:eastAsia="Arial" w:hAnsi="Arial"/>
          <w:b/>
          <w:bCs/>
          <w:sz w:val="26"/>
          <w:szCs w:val="26"/>
        </w:rPr>
        <w:t xml:space="preserve">Profit Share (Declining Waterfall)</w:t>
      </w:r>
    </w:p>
    <w:p>
      <w:pPr>
        <w:spacing w:after="160"/>
      </w:pPr>
      <w:r>
        <w:rPr>
          <w:rFonts w:ascii="Arial" w:cs="Arial" w:eastAsia="Arial" w:hAnsi="Arial"/>
          <w:sz w:val="22"/>
          <w:szCs w:val="22"/>
        </w:rPr>
        <w:t xml:space="preserve">Your share of NDP declines as you earn back more of your investment.</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280"/>
        <w:gridCol w:w="2280"/>
      </w:tblGrid>
      <w:tr>
        <w:tc>
          <w:tcPr>
            <w:tcW w:type="dxa" w:w="24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Phase</w:t>
            </w:r>
          </w:p>
        </w:tc>
        <w:tc>
          <w:tcPr>
            <w:tcW w:type="dxa" w:w="24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Threshold</w:t>
            </w:r>
          </w:p>
        </w:tc>
        <w:tc>
          <w:tcPr>
            <w:tcW w:type="dxa" w:w="228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Investor</w:t>
            </w:r>
          </w:p>
        </w:tc>
        <w:tc>
          <w:tcPr>
            <w:tcW w:type="dxa" w:w="228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Company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20"/>
                <w:szCs w:val="20"/>
              </w:rPr>
              <w:t xml:space="preserve">Phase 1</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Until 2X return</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50%</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50%</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20"/>
                <w:szCs w:val="20"/>
              </w:rPr>
              <w:t xml:space="preserve">Phase 2</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2X to 3X return</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30%</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70%</w:t>
            </w:r>
          </w:p>
        </w:tc>
      </w:tr>
      <w:tr>
        <w:tc>
          <w:tcPr>
            <w:tcW w:type="dxa" w:w="24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pPr>
              <w:spacing w:after="0"/>
            </w:pPr>
            <w:r>
              <w:rPr>
                <w:rFonts w:ascii="Arial" w:cs="Arial" w:eastAsia="Arial" w:hAnsi="Arial"/>
                <w:b/>
                <w:bCs/>
                <w:sz w:val="20"/>
                <w:szCs w:val="20"/>
              </w:rPr>
              <w:t xml:space="preserve">Cap</w:t>
            </w:r>
          </w:p>
        </w:tc>
        <w:tc>
          <w:tcPr>
            <w:tcW w:type="dxa" w:w="24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pPr>
              <w:spacing w:after="0"/>
            </w:pPr>
            <w:r>
              <w:rPr>
                <w:rFonts w:ascii="Arial" w:cs="Arial" w:eastAsia="Arial" w:hAnsi="Arial"/>
                <w:b w:val="false"/>
                <w:bCs w:val="false"/>
                <w:sz w:val="20"/>
                <w:szCs w:val="20"/>
              </w:rPr>
              <w:t xml:space="preserve">After 3X return</w:t>
            </w:r>
          </w:p>
        </w:tc>
        <w:tc>
          <w:tcPr>
            <w:tcW w:type="dxa" w:w="228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pPr>
              <w:spacing w:after="0"/>
            </w:pPr>
            <w:r>
              <w:rPr>
                <w:rFonts w:ascii="Arial" w:cs="Arial" w:eastAsia="Arial" w:hAnsi="Arial"/>
                <w:b w:val="false"/>
                <w:bCs w:val="false"/>
                <w:sz w:val="20"/>
                <w:szCs w:val="20"/>
              </w:rPr>
              <w:t xml:space="preserve">0%</w:t>
            </w:r>
          </w:p>
        </w:tc>
        <w:tc>
          <w:tcPr>
            <w:tcW w:type="dxa" w:w="228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pPr>
              <w:spacing w:after="0"/>
            </w:pPr>
            <w:r>
              <w:rPr>
                <w:rFonts w:ascii="Arial" w:cs="Arial" w:eastAsia="Arial" w:hAnsi="Arial"/>
                <w:b w:val="false"/>
                <w:bCs w:val="false"/>
                <w:sz w:val="20"/>
                <w:szCs w:val="20"/>
              </w:rPr>
              <w:t xml:space="preserve">100%</w:t>
            </w:r>
          </w:p>
        </w:tc>
      </w:tr>
    </w:tbl>
    <w:p>
      <w:pPr>
        <w:spacing w:after="80"/>
      </w:pPr>
    </w:p>
    <w:p>
      <w:pPr>
        <w:spacing w:after="160"/>
      </w:pPr>
      <w:r>
        <w:rPr>
          <w:rFonts w:ascii="Arial" w:cs="Arial" w:eastAsia="Arial" w:hAnsi="Arial"/>
          <w:sz w:val="20"/>
          <w:szCs w:val="20"/>
        </w:rPr>
        <w:t xml:space="preserve">Once cumulative distributions reach 3X the original investment, participation in EVERYONE LLC profits ends. This does not affect any rights or opportunities in future ventures, spin-offs, or other entities (see Future Partnership Opportunities below).</w:t>
      </w:r>
    </w:p>
    <w:p>
      <w:pPr>
        <w:pStyle w:val="Heading1"/>
        <w:spacing w:after="120" w:before="300"/>
      </w:pPr>
      <w:r>
        <w:rPr>
          <w:rFonts w:ascii="Arial" w:cs="Arial" w:eastAsia="Arial" w:hAnsi="Arial"/>
          <w:b/>
          <w:bCs/>
          <w:sz w:val="26"/>
          <w:szCs w:val="26"/>
        </w:rPr>
        <w:t xml:space="preserve">Net Distributable Profits (NDP)</w:t>
      </w:r>
    </w:p>
    <w:p>
      <w:pPr>
        <w:spacing w:after="160"/>
      </w:pPr>
      <w:r>
        <w:rPr>
          <w:rFonts w:ascii="Arial" w:cs="Arial" w:eastAsia="Arial" w:hAnsi="Arial"/>
          <w:sz w:val="22"/>
          <w:szCs w:val="22"/>
        </w:rPr>
        <w:t xml:space="preserve">All revenue from EVERYONE LLC (film, platform, campaigns, team wear, licensing, partnerships, everything), minus COGS, operating expenses, and reserves. Distributions quarterly or annually at Company discretion. NDP may be zero or negative in any period.</w:t>
      </w:r>
    </w:p>
    <w:p>
      <w:pPr>
        <w:pStyle w:val="Heading1"/>
        <w:spacing w:after="120" w:before="300"/>
      </w:pPr>
      <w:r>
        <w:rPr>
          <w:rFonts w:ascii="Arial" w:cs="Arial" w:eastAsia="Arial" w:hAnsi="Arial"/>
          <w:b/>
          <w:bCs/>
          <w:sz w:val="26"/>
          <w:szCs w:val="26"/>
        </w:rPr>
        <w:t xml:space="preserve">How the Pool Works</w:t>
      </w:r>
    </w:p>
    <w:p>
      <w:pPr>
        <w:spacing w:after="160"/>
      </w:pPr>
      <w:r>
        <w:rPr>
          <w:rFonts w:ascii="Arial" w:cs="Arial" w:eastAsia="Arial" w:hAnsi="Arial"/>
          <w:sz w:val="22"/>
          <w:szCs w:val="22"/>
        </w:rPr>
        <w:t xml:space="preserve">All investors share a single pool. Distributions are pro rata based on contribution amount relative to total pool.</w:t>
      </w:r>
    </w:p>
    <w:p>
      <w:pPr>
        <w:pStyle w:val="ListParagraph"/>
        <w:numPr>
          <w:ilvl w:val="0"/>
          <w:numId w:val="2"/>
        </w:numPr>
        <w:spacing w:after="160"/>
      </w:pPr>
      <w:r>
        <w:rPr>
          <w:rFonts w:ascii="Arial" w:cs="Arial" w:eastAsia="Arial" w:hAnsi="Arial"/>
          <w:sz w:val="22"/>
          <w:szCs w:val="22"/>
        </w:rPr>
        <w:t xml:space="preserve">First Close investors (this round) have priority: paid first until 2X, before later investors receive distributions.</w:t>
      </w:r>
    </w:p>
    <w:p>
      <w:pPr>
        <w:pStyle w:val="ListParagraph"/>
        <w:numPr>
          <w:ilvl w:val="0"/>
          <w:numId w:val="2"/>
        </w:numPr>
        <w:spacing w:after="160"/>
      </w:pPr>
      <w:r>
        <w:rPr>
          <w:rFonts w:ascii="Arial" w:cs="Arial" w:eastAsia="Arial" w:hAnsi="Arial"/>
          <w:sz w:val="22"/>
          <w:szCs w:val="22"/>
        </w:rPr>
        <w:t xml:space="preserve">Most Favored Nation: if better economic terms are offered to any investor at any time during the life of this offering, your terms automatically upgrade to match.</w:t>
      </w:r>
    </w:p>
    <w:p>
      <w:pPr>
        <w:pStyle w:val="Heading1"/>
        <w:spacing w:after="120" w:before="300"/>
      </w:pPr>
      <w:r>
        <w:rPr>
          <w:rFonts w:ascii="Arial" w:cs="Arial" w:eastAsia="Arial" w:hAnsi="Arial"/>
          <w:b/>
          <w:bCs/>
          <w:sz w:val="26"/>
          <w:szCs w:val="26"/>
        </w:rPr>
        <w:t xml:space="preserve">Governance</w:t>
      </w:r>
    </w:p>
    <w:p>
      <w:pPr>
        <w:spacing w:after="160"/>
      </w:pPr>
      <w:r>
        <w:rPr>
          <w:rFonts w:ascii="Arial" w:cs="Arial" w:eastAsia="Arial" w:hAnsi="Arial"/>
          <w:sz w:val="22"/>
          <w:szCs w:val="22"/>
        </w:rPr>
        <w:t xml:space="preserve">None. This is a profit participation, not an ownership stake. Investors have no voting rights, no board seat, no approval rights over operations, compensation, hiring, spending, strategy, or future fundraising. All decisions are made by the managing members at their sole discretion.</w:t>
      </w:r>
    </w:p>
    <w:p>
      <w:pPr>
        <w:pStyle w:val="Heading1"/>
        <w:spacing w:after="120" w:before="300"/>
      </w:pPr>
      <w:r>
        <w:rPr>
          <w:rFonts w:ascii="Arial" w:cs="Arial" w:eastAsia="Arial" w:hAnsi="Arial"/>
          <w:b/>
          <w:bCs/>
          <w:sz w:val="26"/>
          <w:szCs w:val="26"/>
        </w:rPr>
        <w:t xml:space="preserve">Transparency</w:t>
      </w:r>
    </w:p>
    <w:p>
      <w:pPr>
        <w:spacing w:after="160"/>
      </w:pPr>
      <w:r>
        <w:rPr>
          <w:rFonts w:ascii="Arial" w:cs="Arial" w:eastAsia="Arial" w:hAnsi="Arial"/>
          <w:sz w:val="22"/>
          <w:szCs w:val="22"/>
        </w:rPr>
        <w:t xml:space="preserve">Annual voluntary summary: revenue by category, expenses by category, NDP, distributions made, progress toward 3X cap. This is a courtesy to maintain trust. It is not a contractual reporting obligation and does not create oversight or audit rights.</w:t>
      </w:r>
    </w:p>
    <w:p>
      <w:pPr>
        <w:pStyle w:val="Heading1"/>
        <w:spacing w:after="120" w:before="300"/>
      </w:pPr>
      <w:r>
        <w:rPr>
          <w:rFonts w:ascii="Arial" w:cs="Arial" w:eastAsia="Arial" w:hAnsi="Arial"/>
          <w:b/>
          <w:bCs/>
          <w:sz w:val="26"/>
          <w:szCs w:val="26"/>
        </w:rPr>
        <w:t xml:space="preserve">Future Venture Opportunities</w:t>
      </w:r>
    </w:p>
    <w:p>
      <w:pPr>
        <w:spacing w:after="160"/>
      </w:pPr>
      <w:r>
        <w:rPr>
          <w:rFonts w:ascii="Arial" w:cs="Arial" w:eastAsia="Arial" w:hAnsi="Arial"/>
          <w:sz w:val="22"/>
          <w:szCs w:val="22"/>
        </w:rPr>
        <w:t xml:space="preserve">EVERYONE LLC is the foundation of a broader ecosystem. As the Company grows, new ventures, entities, and opportunities are expected to emerge: AI-powered products, membership and platform businesses, venue partnerships and licensing entities, content studio spin-offs, brand collaborations, and other ventures that may be incubated within or alongside EVERYONE LLC.</w:t>
      </w:r>
    </w:p>
    <w:p>
      <w:pPr>
        <w:spacing w:after="160"/>
      </w:pPr>
      <w:r>
        <w:rPr>
          <w:rFonts w:ascii="Arial" w:cs="Arial" w:eastAsia="Arial" w:hAnsi="Arial"/>
          <w:sz w:val="22"/>
          <w:szCs w:val="22"/>
        </w:rPr>
        <w:t xml:space="preserve">Some of these future ventures may be structured as separate entities with their own investment terms, including equity, and their own risk and return profiles. EVERYONE LLC investors will be offered priority access to participate in these opportunities, on terms no less favorable than those offered to new outside investors.</w:t>
      </w:r>
    </w:p>
    <w:p>
      <w:pPr>
        <w:pStyle w:val="ListParagraph"/>
        <w:numPr>
          <w:ilvl w:val="0"/>
          <w:numId w:val="2"/>
        </w:numPr>
        <w:spacing w:after="160"/>
      </w:pPr>
      <w:r>
        <w:rPr>
          <w:rFonts w:ascii="Arial" w:cs="Arial" w:eastAsia="Arial" w:hAnsi="Arial"/>
          <w:sz w:val="22"/>
          <w:szCs w:val="22"/>
        </w:rPr>
        <w:t xml:space="preserve">This is the foundational commitment: by investing in EVERYONE LLC, you are investing in a seat at the table. The 3X return on this agreement is the beginning of the relationship, not the end of it. The Company commits to presenting future opportunities to existing investors first, in good faith, as partners who are already aligned with the mission and the vision.</w:t>
      </w:r>
    </w:p>
    <w:p>
      <w:pPr>
        <w:pStyle w:val="ListParagraph"/>
        <w:numPr>
          <w:ilvl w:val="0"/>
          <w:numId w:val="2"/>
        </w:numPr>
        <w:spacing w:after="160"/>
      </w:pPr>
      <w:r>
        <w:rPr>
          <w:rFonts w:ascii="Arial" w:cs="Arial" w:eastAsia="Arial" w:hAnsi="Arial"/>
          <w:sz w:val="22"/>
          <w:szCs w:val="22"/>
        </w:rPr>
        <w:t xml:space="preserve">Priority access means you will be notified of, and given the opportunity to participate in, future investment rounds, SPVs, joint ventures, or new entities created by or affiliated with EVERYONE LLC, before those opportunities are offered to outside investors.</w:t>
      </w:r>
    </w:p>
    <w:p>
      <w:pPr>
        <w:pStyle w:val="ListParagraph"/>
        <w:numPr>
          <w:ilvl w:val="0"/>
          <w:numId w:val="2"/>
        </w:numPr>
        <w:spacing w:after="160"/>
      </w:pPr>
      <w:r>
        <w:rPr>
          <w:rFonts w:ascii="Arial" w:cs="Arial" w:eastAsia="Arial" w:hAnsi="Arial"/>
          <w:sz w:val="22"/>
          <w:szCs w:val="22"/>
        </w:rPr>
        <w:t xml:space="preserve">Each future opportunity will have its own terms, its own risk profile, and its own potential. Nothing in this section obligates either party to enter into any particular arrangement.</w:t>
      </w:r>
    </w:p>
    <w:p>
      <w:pPr>
        <w:pStyle w:val="ListParagraph"/>
        <w:numPr>
          <w:ilvl w:val="0"/>
          <w:numId w:val="2"/>
        </w:numPr>
        <w:spacing w:after="160"/>
      </w:pPr>
      <w:r>
        <w:rPr>
          <w:rFonts w:ascii="Arial" w:cs="Arial" w:eastAsia="Arial" w:hAnsi="Arial"/>
          <w:sz w:val="22"/>
          <w:szCs w:val="22"/>
        </w:rPr>
        <w:t xml:space="preserve">This right is permanent. It does not expire with the 3X cap, and it is not contingent on maintaining participation in EVERYONE LLC profits.</w:t>
      </w:r>
    </w:p>
    <w:p>
      <w:pPr>
        <w:pStyle w:val="Heading1"/>
        <w:spacing w:after="120" w:before="300"/>
      </w:pPr>
      <w:r>
        <w:rPr>
          <w:rFonts w:ascii="Arial" w:cs="Arial" w:eastAsia="Arial" w:hAnsi="Arial"/>
          <w:b/>
          <w:bCs/>
          <w:sz w:val="26"/>
          <w:szCs w:val="26"/>
        </w:rPr>
        <w:t xml:space="preserve">Risk</w:t>
      </w:r>
    </w:p>
    <w:p>
      <w:pPr>
        <w:spacing w:after="160"/>
      </w:pPr>
      <w:r>
        <w:rPr>
          <w:rFonts w:ascii="Arial" w:cs="Arial" w:eastAsia="Arial" w:hAnsi="Arial"/>
          <w:sz w:val="20"/>
          <w:szCs w:val="20"/>
        </w:rPr>
        <w:t xml:space="preserve">High-risk investment. Possible total loss. Early-stage company with limited history and no current revenue. Returns depend entirely on performance. Not registered securities (offered under exemption). Not transferable without written consent. No public market exists or is expected.</w:t>
      </w:r>
    </w:p>
    <w:p>
      <w:pPr>
        <w:pStyle w:val="Heading1"/>
        <w:spacing w:after="120" w:before="300"/>
      </w:pPr>
      <w:r>
        <w:rPr>
          <w:rFonts w:ascii="Arial" w:cs="Arial" w:eastAsia="Arial" w:hAnsi="Arial"/>
          <w:b/>
          <w:bCs/>
          <w:sz w:val="26"/>
          <w:szCs w:val="26"/>
        </w:rPr>
        <w:t xml:space="preserve">Additional Terms</w:t>
      </w:r>
    </w:p>
    <w:p>
      <w:pPr>
        <w:spacing w:after="160"/>
      </w:pPr>
      <w:r>
        <w:rPr>
          <w:rFonts w:ascii="Arial" w:cs="Arial" w:eastAsia="Arial" w:hAnsi="Arial"/>
          <w:b/>
          <w:bCs/>
          <w:sz w:val="20"/>
          <w:szCs w:val="20"/>
        </w:rPr>
        <w:t xml:space="preserve">Transferability: </w:t>
      </w:r>
      <w:r>
        <w:rPr>
          <w:rFonts w:ascii="Arial" w:cs="Arial" w:eastAsia="Arial" w:hAnsi="Arial"/>
          <w:sz w:val="20"/>
          <w:szCs w:val="20"/>
        </w:rPr>
        <w:t xml:space="preserve">Not transferable without Company consent.</w:t>
      </w:r>
    </w:p>
    <w:p>
      <w:pPr>
        <w:spacing w:after="160"/>
      </w:pPr>
      <w:r>
        <w:rPr>
          <w:rFonts w:ascii="Arial" w:cs="Arial" w:eastAsia="Arial" w:hAnsi="Arial"/>
          <w:b/>
          <w:bCs/>
          <w:sz w:val="20"/>
          <w:szCs w:val="20"/>
        </w:rPr>
        <w:t xml:space="preserve">Confidentiality: </w:t>
      </w:r>
      <w:r>
        <w:rPr>
          <w:rFonts w:ascii="Arial" w:cs="Arial" w:eastAsia="Arial" w:hAnsi="Arial"/>
          <w:sz w:val="20"/>
          <w:szCs w:val="20"/>
        </w:rPr>
        <w:t xml:space="preserve">Terms and financial information are confidential.</w:t>
      </w:r>
    </w:p>
    <w:p>
      <w:pPr>
        <w:spacing w:after="160"/>
      </w:pPr>
      <w:r>
        <w:rPr>
          <w:rFonts w:ascii="Arial" w:cs="Arial" w:eastAsia="Arial" w:hAnsi="Arial"/>
          <w:b/>
          <w:bCs/>
          <w:sz w:val="20"/>
          <w:szCs w:val="20"/>
        </w:rPr>
        <w:t xml:space="preserve">Governing Law: </w:t>
      </w:r>
      <w:r>
        <w:rPr>
          <w:rFonts w:ascii="Arial" w:cs="Arial" w:eastAsia="Arial" w:hAnsi="Arial"/>
          <w:sz w:val="20"/>
          <w:szCs w:val="20"/>
        </w:rPr>
        <w:t xml:space="preserve">Delaware.</w:t>
      </w:r>
    </w:p>
    <w:p>
      <w:pPr>
        <w:spacing w:after="160"/>
      </w:pPr>
      <w:r>
        <w:rPr>
          <w:rFonts w:ascii="Arial" w:cs="Arial" w:eastAsia="Arial" w:hAnsi="Arial"/>
          <w:b/>
          <w:bCs/>
          <w:sz w:val="20"/>
          <w:szCs w:val="20"/>
        </w:rPr>
        <w:t xml:space="preserve">Amendments: </w:t>
      </w:r>
      <w:r>
        <w:rPr>
          <w:rFonts w:ascii="Arial" w:cs="Arial" w:eastAsia="Arial" w:hAnsi="Arial"/>
          <w:sz w:val="20"/>
          <w:szCs w:val="20"/>
        </w:rPr>
        <w:t xml:space="preserve">Written consent of both parties required.</w:t>
      </w:r>
    </w:p>
    <w:p>
      <w:pPr>
        <w:spacing w:after="160"/>
      </w:pPr>
      <w:r>
        <w:rPr>
          <w:rFonts w:ascii="Arial" w:cs="Arial" w:eastAsia="Arial" w:hAnsi="Arial"/>
          <w:b/>
          <w:bCs/>
          <w:sz w:val="20"/>
          <w:szCs w:val="20"/>
        </w:rPr>
        <w:t xml:space="preserve">Legal Review: </w:t>
      </w:r>
      <w:r>
        <w:rPr>
          <w:rFonts w:ascii="Arial" w:cs="Arial" w:eastAsia="Arial" w:hAnsi="Arial"/>
          <w:sz w:val="20"/>
          <w:szCs w:val="20"/>
        </w:rPr>
        <w:t xml:space="preserve">Subject to counsel review prior to execution. Final agreement supersedes this document.</w:t>
      </w:r>
    </w:p>
    <w:p>
      <w:pPr>
        <w:spacing w:after="80"/>
      </w:pPr>
    </w:p>
    <w:p>
      <w:pPr>
        <w:spacing w:after="80"/>
      </w:pPr>
    </w:p>
    <w:p>
      <w:pPr>
        <w:pStyle w:val="Heading1"/>
        <w:spacing w:after="120" w:before="300"/>
      </w:pPr>
      <w:r>
        <w:rPr>
          <w:rFonts w:ascii="Arial" w:cs="Arial" w:eastAsia="Arial" w:hAnsi="Arial"/>
          <w:b/>
          <w:bCs/>
          <w:sz w:val="26"/>
          <w:szCs w:val="26"/>
        </w:rPr>
        <w:t xml:space="preserve">Acceptance</w:t>
      </w:r>
    </w:p>
    <w:p>
      <w:pPr>
        <w:spacing w:after="160"/>
      </w:pPr>
      <w:r>
        <w:rPr>
          <w:rFonts w:ascii="Arial" w:cs="Arial" w:eastAsia="Arial" w:hAnsi="Arial"/>
          <w:sz w:val="20"/>
          <w:szCs w:val="20"/>
        </w:rPr>
        <w:t xml:space="preserve">By signing, Investor confirms they have read these terms, are investing at their own risk, and have had the opportunity to consult independent counsel.</w:t>
      </w:r>
    </w:p>
    <w:p>
      <w:pPr>
        <w:spacing w:after="80"/>
      </w:pP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top w:type="dxa" w:w="80"/>
              <w:left w:type="dxa" w:w="120"/>
              <w:bottom w:type="dxa" w:w="80"/>
              <w:right w:type="dxa" w:w="120"/>
            </w:tcMar>
          </w:tcPr>
          <w:p>
            <w:pPr>
              <w:spacing w:after="300"/>
            </w:pPr>
            <w:r>
              <w:rPr>
                <w:rFonts w:ascii="Arial" w:cs="Arial" w:eastAsia="Arial" w:hAnsi="Arial"/>
                <w:b/>
                <w:bCs/>
                <w:sz w:val="22"/>
                <w:szCs w:val="22"/>
              </w:rPr>
              <w:t xml:space="preserve">EVERYONE LLC</w:t>
            </w:r>
          </w:p>
          <w:p>
            <w:pPr>
              <w:spacing w:after="60"/>
            </w:pPr>
            <w:r>
              <w:rPr>
                <w:rFonts w:ascii="Arial" w:cs="Arial" w:eastAsia="Arial" w:hAnsi="Arial"/>
                <w:sz w:val="22"/>
                <w:szCs w:val="22"/>
              </w:rPr>
              <w:t xml:space="preserve">_______________________________</w:t>
            </w:r>
          </w:p>
          <w:p>
            <w:pPr>
              <w:spacing w:after="60"/>
            </w:pPr>
            <w:r>
              <w:rPr>
                <w:rFonts w:ascii="Arial" w:cs="Arial" w:eastAsia="Arial" w:hAnsi="Arial"/>
                <w:sz w:val="18"/>
                <w:szCs w:val="18"/>
              </w:rPr>
              <w:t xml:space="preserve">Zak Zaidman, Managing Member</w:t>
            </w:r>
          </w:p>
          <w:p>
            <w:pPr>
              <w:spacing w:after="160"/>
            </w:pPr>
            <w:r>
              <w:rPr>
                <w:rFonts w:ascii="Arial" w:cs="Arial" w:eastAsia="Arial" w:hAnsi="Arial"/>
                <w:sz w:val="18"/>
                <w:szCs w:val="18"/>
              </w:rPr>
              <w:t xml:space="preserve">Date: _____________</w:t>
            </w:r>
          </w:p>
        </w:tc>
        <w:tc>
          <w:tcPr>
            <w:tcW w:type="dxa" w:w="4680"/>
            <w:tcBorders>
              <w:top w:val="none"/>
              <w:left w:val="none"/>
              <w:bottom w:val="none"/>
              <w:right w:val="none"/>
            </w:tcBorders>
            <w:tcMar>
              <w:top w:type="dxa" w:w="80"/>
              <w:left w:type="dxa" w:w="120"/>
              <w:bottom w:type="dxa" w:w="80"/>
              <w:right w:type="dxa" w:w="120"/>
            </w:tcMar>
          </w:tcPr>
          <w:p>
            <w:pPr>
              <w:spacing w:after="300"/>
            </w:pPr>
            <w:r>
              <w:rPr>
                <w:rFonts w:ascii="Arial" w:cs="Arial" w:eastAsia="Arial" w:hAnsi="Arial"/>
                <w:b/>
                <w:bCs/>
                <w:sz w:val="22"/>
                <w:szCs w:val="22"/>
              </w:rPr>
              <w:t xml:space="preserve">INVESTOR</w:t>
            </w:r>
          </w:p>
          <w:p>
            <w:pPr>
              <w:spacing w:after="60"/>
            </w:pPr>
            <w:r>
              <w:rPr>
                <w:rFonts w:ascii="Arial" w:cs="Arial" w:eastAsia="Arial" w:hAnsi="Arial"/>
                <w:sz w:val="22"/>
                <w:szCs w:val="22"/>
              </w:rPr>
              <w:t xml:space="preserve">_______________________________</w:t>
            </w:r>
          </w:p>
          <w:p>
            <w:pPr>
              <w:spacing w:after="60"/>
            </w:pPr>
            <w:r>
              <w:rPr>
                <w:rFonts w:ascii="Arial" w:cs="Arial" w:eastAsia="Arial" w:hAnsi="Arial"/>
                <w:sz w:val="18"/>
                <w:szCs w:val="18"/>
              </w:rPr>
              <w:t xml:space="preserve">Name: _____________</w:t>
            </w:r>
          </w:p>
          <w:p>
            <w:pPr>
              <w:spacing w:after="60"/>
            </w:pPr>
            <w:r>
              <w:rPr>
                <w:rFonts w:ascii="Arial" w:cs="Arial" w:eastAsia="Arial" w:hAnsi="Arial"/>
                <w:sz w:val="18"/>
                <w:szCs w:val="18"/>
              </w:rPr>
              <w:t xml:space="preserve">Amount: $____________</w:t>
            </w:r>
          </w:p>
          <w:p>
            <w:pPr>
              <w:spacing w:after="160"/>
            </w:pPr>
            <w:r>
              <w:rPr>
                <w:rFonts w:ascii="Arial" w:cs="Arial" w:eastAsia="Arial" w:hAnsi="Arial"/>
                <w:sz w:val="18"/>
                <w:szCs w:val="18"/>
              </w:rPr>
              <w:t xml:space="preserve">Date: _____________</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sz w:val="26"/>
      <w:szCs w:val="26"/>
    </w:rPr>
  </w:style>
  <w:style w:type="paragraph" w:styleId="Heading2">
    <w:name w:val="Heading 2"/>
    <w:basedOn w:val="Normal"/>
    <w:next w:val="Normal"/>
    <w:qFormat/>
    <w:pPr>
      <w:spacing w:after="100" w:before="200"/>
      <w:outlineLvl w:val="1"/>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2026-04-21T16:00:11.004Z</dcterms:created>
  <dcterms:modified xsi:type="dcterms:W3CDTF">2026-04-21T16:00:11.006Z</dcterms:modified>
</cp:coreProperties>
</file>

<file path=docProps/custom.xml><?xml version="1.0" encoding="utf-8"?>
<Properties xmlns="http://schemas.openxmlformats.org/officeDocument/2006/custom-properties" xmlns:vt="http://schemas.openxmlformats.org/officeDocument/2006/docPropsVTypes"/>
</file>